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-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Зубарева Виталия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</w:t>
      </w:r>
      <w:r>
        <w:rPr>
          <w:rFonts w:ascii="Times New Roman" w:eastAsia="Times New Roman" w:hAnsi="Times New Roman" w:cs="Times New Roman"/>
        </w:rPr>
        <w:t>данина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водителем в </w:t>
      </w:r>
      <w:r>
        <w:rPr>
          <w:rStyle w:val="cat-UserDefinedgrp-3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Зубарев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27 км.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 xml:space="preserve">и Р404 Тюмень – Тобольск – Ханты-Мансийск,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МАН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в результате чего, совершил административное правонарушение, предусмотренное ч. 2 </w:t>
      </w:r>
      <w:r>
        <w:rPr>
          <w:rFonts w:ascii="Times New Roman" w:eastAsia="Times New Roman" w:hAnsi="Times New Roman" w:cs="Times New Roman"/>
        </w:rPr>
        <w:t>ст. 12.2 КоАП РФ.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При рассмотрении дела об административном правонарушении </w:t>
      </w:r>
      <w:r>
        <w:rPr>
          <w:b w:val="0"/>
          <w:bCs w:val="0"/>
          <w:i w:val="0"/>
          <w:sz w:val="24"/>
          <w:szCs w:val="24"/>
        </w:rPr>
        <w:t>Зубарев В.А.</w:t>
      </w:r>
      <w:r>
        <w:rPr>
          <w:b w:val="0"/>
          <w:bCs w:val="0"/>
          <w:i w:val="0"/>
          <w:sz w:val="24"/>
          <w:szCs w:val="24"/>
        </w:rPr>
        <w:t xml:space="preserve"> вину признал в полном объеме, ходатайств не заявил</w:t>
      </w:r>
      <w:r>
        <w:rPr>
          <w:b w:val="0"/>
          <w:bCs w:val="0"/>
          <w:i w:val="0"/>
          <w:sz w:val="24"/>
          <w:szCs w:val="24"/>
        </w:rPr>
        <w:t>.</w:t>
      </w:r>
      <w:r>
        <w:rPr>
          <w:b w:val="0"/>
          <w:bCs w:val="0"/>
          <w:i w:val="0"/>
          <w:sz w:val="24"/>
          <w:szCs w:val="24"/>
        </w:rPr>
        <w:t xml:space="preserve"> Пояснил, что все обстоятельства правонарушения в материалах дела зафиксированы верно.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12.2 КоАП РФ, административным правонарушением признается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в совершении административного правонарушения доказана: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 xml:space="preserve">Зубарев В.А. 27.04.2024 в 10 час. 20 мин. на 27 км. автодороги Р404 Тюмень – Тобольск – Ханты-Мансийск,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район, в нарушение п.2 ОП ПДД РФ, управлял транспортным средством МАН г/н </w:t>
      </w:r>
      <w:r>
        <w:rPr>
          <w:rStyle w:val="cat-UserDefinedgrp-39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в результате чего, совершил административное правонарушение, предусмотренное ч. 2 </w:t>
      </w:r>
      <w:r>
        <w:rPr>
          <w:rFonts w:ascii="Times New Roman" w:eastAsia="Times New Roman" w:hAnsi="Times New Roman" w:cs="Times New Roman"/>
        </w:rPr>
        <w:t>ст. 12.2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фотоснимком транспортного средства </w:t>
      </w:r>
      <w:r>
        <w:rPr>
          <w:rFonts w:ascii="Times New Roman" w:eastAsia="Times New Roman" w:hAnsi="Times New Roman" w:cs="Times New Roman"/>
        </w:rPr>
        <w:t xml:space="preserve">МАН г/н </w:t>
      </w:r>
      <w:r>
        <w:rPr>
          <w:rStyle w:val="cat-UserDefinedgrp-39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отсутствует </w:t>
      </w:r>
      <w:r>
        <w:rPr>
          <w:rFonts w:ascii="Times New Roman" w:eastAsia="Times New Roman" w:hAnsi="Times New Roman" w:cs="Times New Roman"/>
        </w:rPr>
        <w:t xml:space="preserve">передний </w:t>
      </w:r>
      <w:r>
        <w:rPr>
          <w:rFonts w:ascii="Times New Roman" w:eastAsia="Times New Roman" w:hAnsi="Times New Roman" w:cs="Times New Roman"/>
        </w:rPr>
        <w:t>государственный регистрационный знак;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полиции от </w:t>
      </w:r>
      <w:r>
        <w:rPr>
          <w:rFonts w:ascii="Times New Roman" w:eastAsia="Times New Roman" w:hAnsi="Times New Roman" w:cs="Times New Roman"/>
        </w:rPr>
        <w:t>27.04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карточка операции с ВУ; список нарушений; </w:t>
      </w:r>
      <w:r>
        <w:rPr>
          <w:rFonts w:ascii="Times New Roman" w:eastAsia="Times New Roman" w:hAnsi="Times New Roman" w:cs="Times New Roman"/>
        </w:rPr>
        <w:t>телефонограмма; копия водительского удостоверения; копия свидетельства о регистрации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Зубарева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Зубарева Виталия Александровича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40910211949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г.Ханты-Мансийск, Тюменской области, 628000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rPr>
          <w:rFonts w:ascii="Times New Roman" w:eastAsia="Times New Roman" w:hAnsi="Times New Roman" w:cs="Times New Roman"/>
        </w:rPr>
        <w:t>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39rplc-42">
    <w:name w:val="cat-UserDefined grp-3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